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9" w:rsidRDefault="00E40579">
      <w:pPr>
        <w:kinsoku w:val="0"/>
        <w:overflowPunct w:val="0"/>
        <w:spacing w:before="13" w:line="260" w:lineRule="exact"/>
        <w:rPr>
          <w:b/>
          <w:bCs/>
          <w:spacing w:val="1"/>
        </w:rPr>
      </w:pPr>
    </w:p>
    <w:p w:rsidR="00E40579" w:rsidRPr="000143C1" w:rsidRDefault="003A3B57" w:rsidP="000143C1">
      <w:pPr>
        <w:kinsoku w:val="0"/>
        <w:overflowPunct w:val="0"/>
        <w:spacing w:before="13" w:line="260" w:lineRule="exact"/>
      </w:pPr>
      <w:r>
        <w:rPr>
          <w:b/>
          <w:bCs/>
          <w:spacing w:val="1"/>
        </w:rPr>
        <w:t xml:space="preserve">      </w:t>
      </w:r>
      <w:r w:rsidR="00BF6663">
        <w:rPr>
          <w:b/>
          <w:bCs/>
          <w:spacing w:val="1"/>
        </w:rPr>
        <w:t>ΤΕΧ</w:t>
      </w:r>
      <w:r w:rsidR="00C63D5C">
        <w:rPr>
          <w:b/>
          <w:bCs/>
          <w:spacing w:val="1"/>
        </w:rPr>
        <w:t>ΝΙΚΕΣ ΠΡΟΔ</w:t>
      </w:r>
      <w:r w:rsidR="00A94B35">
        <w:rPr>
          <w:b/>
          <w:bCs/>
          <w:spacing w:val="1"/>
        </w:rPr>
        <w:t>ΙΑΓΡΑΦΕΣ ΕΡΓΑΣΙΩΝ</w:t>
      </w:r>
      <w:r w:rsidR="000143C1">
        <w:rPr>
          <w:b/>
          <w:bCs/>
          <w:spacing w:val="1"/>
        </w:rPr>
        <w:t xml:space="preserve"> ΕΠΑΝΕΛΕΓΧΟΥ ΚΑΙ </w:t>
      </w:r>
      <w:r w:rsidR="00A94B35">
        <w:rPr>
          <w:b/>
          <w:bCs/>
          <w:spacing w:val="1"/>
        </w:rPr>
        <w:t xml:space="preserve"> ΣΥΝΤ</w:t>
      </w:r>
      <w:r w:rsidR="000143C1">
        <w:rPr>
          <w:b/>
          <w:bCs/>
          <w:spacing w:val="1"/>
        </w:rPr>
        <w:t xml:space="preserve">ΗΡΗΣΗΣ </w:t>
      </w:r>
      <w:r w:rsidR="00BF6663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>ΦΟΡΗΤΩΝ ΜΕΣΩΝ ΠΥΡΟΣΒΕΣΗΣ</w:t>
      </w:r>
    </w:p>
    <w:p w:rsidR="00E40579" w:rsidRDefault="00E40579">
      <w:pPr>
        <w:kinsoku w:val="0"/>
        <w:overflowPunct w:val="0"/>
        <w:spacing w:line="200" w:lineRule="exact"/>
        <w:rPr>
          <w:sz w:val="20"/>
          <w:szCs w:val="20"/>
        </w:rPr>
      </w:pPr>
    </w:p>
    <w:p w:rsidR="00E40579" w:rsidRPr="00C81B43" w:rsidRDefault="00E40579">
      <w:pPr>
        <w:kinsoku w:val="0"/>
        <w:overflowPunct w:val="0"/>
        <w:spacing w:line="200" w:lineRule="exact"/>
        <w:rPr>
          <w:sz w:val="20"/>
          <w:szCs w:val="20"/>
        </w:rPr>
      </w:pPr>
    </w:p>
    <w:p w:rsidR="008608D6" w:rsidRPr="00C81B43" w:rsidRDefault="000B4940">
      <w:pPr>
        <w:kinsoku w:val="0"/>
        <w:overflowPunct w:val="0"/>
        <w:spacing w:line="20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Σητεία, 16/11</w:t>
      </w:r>
      <w:r w:rsidR="00015FDF">
        <w:rPr>
          <w:rFonts w:cs="Arial"/>
          <w:sz w:val="22"/>
          <w:szCs w:val="22"/>
        </w:rPr>
        <w:t>/2021</w:t>
      </w:r>
    </w:p>
    <w:p w:rsidR="003A3B57" w:rsidRDefault="003A3B57" w:rsidP="003A3B57">
      <w:pPr>
        <w:spacing w:before="120" w:after="120"/>
        <w:jc w:val="both"/>
      </w:pPr>
    </w:p>
    <w:p w:rsidR="000143C1" w:rsidRPr="004E0565" w:rsidRDefault="003A3B57" w:rsidP="003A3B57">
      <w:pPr>
        <w:spacing w:before="120" w:after="120"/>
        <w:jc w:val="both"/>
        <w:rPr>
          <w:u w:val="single"/>
        </w:rPr>
      </w:pPr>
      <w:r>
        <w:t xml:space="preserve">        </w:t>
      </w:r>
      <w:r w:rsidR="000143C1" w:rsidRPr="004E0565">
        <w:rPr>
          <w:u w:val="single"/>
        </w:rPr>
        <w:t>ΣΚΟΠΟΣ</w:t>
      </w:r>
    </w:p>
    <w:p w:rsidR="000143C1" w:rsidRDefault="000143C1" w:rsidP="008608D6">
      <w:pPr>
        <w:spacing w:before="120" w:after="120"/>
        <w:ind w:firstLine="539"/>
        <w:jc w:val="both"/>
      </w:pPr>
      <w:r w:rsidRPr="000143C1">
        <w:t xml:space="preserve">       Σκοπός της παρούσας τεχνικής περιγραφής είναι να καθορίσει τις ελάχιστες προδιαγραφές</w:t>
      </w:r>
      <w:r>
        <w:t xml:space="preserve"> για τις εργασίες επανελέγχου και συντήρησης που θα πραγματοποιηθούν στα φορητά μέσα πυρόσβεσης της Αποκεντρωμένης Οργανικής Μον</w:t>
      </w:r>
      <w:r w:rsidR="002671A7">
        <w:t>άδας Σητείας του ΓΝ Λασιθίου .</w:t>
      </w:r>
    </w:p>
    <w:p w:rsidR="008608D6" w:rsidRPr="008608D6" w:rsidRDefault="008608D6">
      <w:pPr>
        <w:kinsoku w:val="0"/>
        <w:overflowPunct w:val="0"/>
        <w:spacing w:line="200" w:lineRule="exact"/>
        <w:rPr>
          <w:sz w:val="20"/>
          <w:szCs w:val="20"/>
        </w:rPr>
      </w:pPr>
    </w:p>
    <w:p w:rsidR="00A94B35" w:rsidRDefault="000143C1" w:rsidP="00A94B35">
      <w:pPr>
        <w:spacing w:before="120" w:after="120"/>
        <w:ind w:firstLine="539"/>
        <w:jc w:val="both"/>
      </w:pPr>
      <w:r>
        <w:t xml:space="preserve">Τα προς συντήρηση φορητά μέσα πυρόσβεσης είναι  </w:t>
      </w:r>
      <w:r w:rsidR="00A94B35">
        <w:t xml:space="preserve"> τα εξής:  </w:t>
      </w:r>
    </w:p>
    <w:p w:rsidR="00A94B35" w:rsidRPr="000B4940" w:rsidRDefault="004E0565" w:rsidP="000B4940">
      <w:pPr>
        <w:spacing w:before="240" w:after="120" w:line="360" w:lineRule="auto"/>
        <w:ind w:firstLine="720"/>
        <w:jc w:val="both"/>
        <w:rPr>
          <w:lang w:eastAsia="ar-SA"/>
        </w:rPr>
      </w:pPr>
      <w:r>
        <w:t xml:space="preserve">Α) Φορητοί πυροσβεστήρες  </w:t>
      </w:r>
      <w:r w:rsidRPr="00601E2D">
        <w:rPr>
          <w:lang w:eastAsia="ar-SA"/>
        </w:rPr>
        <w:t xml:space="preserve">Ξηράς σκόνης 6 </w:t>
      </w:r>
      <w:proofErr w:type="spellStart"/>
      <w:r w:rsidRPr="00601E2D">
        <w:rPr>
          <w:lang w:eastAsia="ar-SA"/>
        </w:rPr>
        <w:t>kg</w:t>
      </w:r>
      <w:proofErr w:type="spellEnd"/>
      <w:r w:rsidRPr="00601E2D">
        <w:rPr>
          <w:lang w:eastAsia="ar-SA"/>
        </w:rPr>
        <w:t xml:space="preserve">: </w:t>
      </w:r>
      <w:r>
        <w:rPr>
          <w:lang w:eastAsia="ar-SA"/>
        </w:rPr>
        <w:t xml:space="preserve">  </w:t>
      </w:r>
    </w:p>
    <w:p w:rsidR="008608D6" w:rsidRPr="00CA2355" w:rsidRDefault="00534C90" w:rsidP="00214363">
      <w:pPr>
        <w:spacing w:before="240" w:after="120" w:line="360" w:lineRule="auto"/>
        <w:jc w:val="both"/>
        <w:rPr>
          <w:i/>
        </w:rPr>
      </w:pPr>
      <w:r w:rsidRPr="00CA2355">
        <w:rPr>
          <w:i/>
        </w:rPr>
        <w:t xml:space="preserve">Χώρος τοποθέτησης : Σε διάφορα σημεία του Νοσοκομείου </w:t>
      </w:r>
    </w:p>
    <w:p w:rsidR="004E0565" w:rsidRDefault="00372C03" w:rsidP="00A94B35">
      <w:pPr>
        <w:spacing w:after="120"/>
        <w:ind w:left="567"/>
        <w:jc w:val="both"/>
        <w:rPr>
          <w:u w:val="single"/>
        </w:rPr>
      </w:pPr>
      <w:r>
        <w:rPr>
          <w:u w:val="single"/>
        </w:rPr>
        <w:t>Α.</w:t>
      </w:r>
      <w:r w:rsidR="00F9377B">
        <w:rPr>
          <w:u w:val="single"/>
        </w:rPr>
        <w:t xml:space="preserve"> ΤΕΧΝΙΚΗ </w:t>
      </w:r>
      <w:r w:rsidR="004E0565" w:rsidRPr="004E0565">
        <w:rPr>
          <w:u w:val="single"/>
        </w:rPr>
        <w:t xml:space="preserve">ΠΕΡΙΓΡΑΦΗ </w:t>
      </w:r>
      <w:r w:rsidR="00F9377B">
        <w:rPr>
          <w:u w:val="single"/>
        </w:rPr>
        <w:t xml:space="preserve">ΣΥΝΤΗΡΗΣΗΣ </w:t>
      </w:r>
    </w:p>
    <w:p w:rsidR="00214363" w:rsidRDefault="00214363" w:rsidP="00A94B35">
      <w:pPr>
        <w:spacing w:after="120"/>
        <w:ind w:left="567"/>
        <w:jc w:val="both"/>
        <w:rPr>
          <w:u w:val="single"/>
        </w:rPr>
      </w:pPr>
    </w:p>
    <w:p w:rsidR="00214363" w:rsidRPr="00CA2355" w:rsidRDefault="00214363" w:rsidP="00214363">
      <w:pPr>
        <w:spacing w:after="120"/>
        <w:ind w:left="567"/>
        <w:jc w:val="both"/>
        <w:rPr>
          <w:i/>
          <w:u w:val="single"/>
        </w:rPr>
      </w:pPr>
      <w:r>
        <w:rPr>
          <w:i/>
        </w:rPr>
        <w:t>Σημείωση:</w:t>
      </w:r>
      <w:r w:rsidRPr="00214363">
        <w:rPr>
          <w:i/>
        </w:rPr>
        <w:t xml:space="preserve"> </w:t>
      </w:r>
      <w:r w:rsidRPr="00CA2355">
        <w:rPr>
          <w:i/>
          <w:u w:val="single"/>
        </w:rPr>
        <w:t xml:space="preserve">σύμφωνα με τους ισχύοντες </w:t>
      </w:r>
      <w:r w:rsidRPr="00CA2355">
        <w:rPr>
          <w:u w:val="single"/>
          <w:lang w:eastAsia="ar-SA"/>
        </w:rPr>
        <w:t xml:space="preserve"> </w:t>
      </w:r>
      <w:r w:rsidRPr="00CA2355">
        <w:rPr>
          <w:i/>
          <w:u w:val="single"/>
        </w:rPr>
        <w:t>κανονισμούς  Πυροπροστασίας και πυροσβεστικές διατάξεις ,η συντήρηση /έλεγχος του πυροσβεστήρα πραγματοποιείται κάθε ένα (1) έτος από</w:t>
      </w:r>
      <w:r w:rsidR="00CA2355">
        <w:rPr>
          <w:i/>
          <w:u w:val="single"/>
        </w:rPr>
        <w:t xml:space="preserve"> την ημερομηνία  </w:t>
      </w:r>
      <w:r w:rsidRPr="00CA2355">
        <w:rPr>
          <w:i/>
          <w:u w:val="single"/>
        </w:rPr>
        <w:t xml:space="preserve">  παραγωγής και προμήθειας  του </w:t>
      </w:r>
    </w:p>
    <w:p w:rsidR="00AD3224" w:rsidRDefault="00AD3224" w:rsidP="00214363">
      <w:pPr>
        <w:pStyle w:val="a3"/>
        <w:tabs>
          <w:tab w:val="left" w:pos="480"/>
        </w:tabs>
        <w:kinsoku w:val="0"/>
        <w:overflowPunct w:val="0"/>
        <w:spacing w:before="26"/>
        <w:ind w:left="0"/>
        <w:rPr>
          <w:spacing w:val="-1"/>
        </w:rPr>
      </w:pPr>
    </w:p>
    <w:p w:rsidR="00A94B35" w:rsidRDefault="00F1169D" w:rsidP="00A94B35">
      <w:pPr>
        <w:spacing w:after="120"/>
        <w:ind w:firstLine="539"/>
        <w:jc w:val="both"/>
      </w:pPr>
      <w:r>
        <w:rPr>
          <w:spacing w:val="13"/>
        </w:rPr>
        <w:t xml:space="preserve"> </w:t>
      </w:r>
      <w:r w:rsidR="00A94B35">
        <w:t xml:space="preserve">Οι απαραίτητες </w:t>
      </w:r>
      <w:r w:rsidR="00A94B35" w:rsidRPr="00CB4CA9">
        <w:rPr>
          <w:b/>
        </w:rPr>
        <w:t>εργασίες συντήρησης</w:t>
      </w:r>
      <w:r w:rsidR="002F5233">
        <w:rPr>
          <w:b/>
        </w:rPr>
        <w:t xml:space="preserve">/ επανελέγχου </w:t>
      </w:r>
      <w:r w:rsidR="00A94B35">
        <w:t xml:space="preserve"> περιγράφονται συνοπτικά παρακάτω:</w:t>
      </w:r>
    </w:p>
    <w:p w:rsidR="00A94B35" w:rsidRDefault="00534C90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>Εξωτερικός έλεγχος των πυροσβεστήρων για</w:t>
      </w:r>
      <w:r w:rsidR="00F9377B">
        <w:rPr>
          <w:i/>
        </w:rPr>
        <w:t xml:space="preserve"> διάβρωση ,κοιλώματα ,χτυπήματα ή οποιαδήποτε άλλης βλάβης  που θα μπορούσε να περιορίσει την ασφαλή λειτουργία του </w:t>
      </w:r>
    </w:p>
    <w:p w:rsidR="00F9377B" w:rsidRDefault="00F9377B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 xml:space="preserve">Έλεγχος του δείκτη ασφαλείας και των ενδεικτικών μηχανισμών για να προσδιοριστεί αν ο πυροσβεστήρας έχει τεθεί σε λειτουργία </w:t>
      </w:r>
    </w:p>
    <w:p w:rsidR="00F149A7" w:rsidRDefault="00F149A7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 xml:space="preserve">Έλεγχος των ενδεικτικών μηχανισμών πίεσης για να διαπιστωθεί ότι αυτός λειτουργεί </w:t>
      </w:r>
      <w:proofErr w:type="spellStart"/>
      <w:r>
        <w:rPr>
          <w:i/>
        </w:rPr>
        <w:t>ελευθερα</w:t>
      </w:r>
      <w:proofErr w:type="spellEnd"/>
      <w:r>
        <w:rPr>
          <w:i/>
        </w:rPr>
        <w:t xml:space="preserve"> ή ότι η ενδεικνυόμενη πίεση δεν είναι έξω από τα προκαθορισμένα όρια </w:t>
      </w:r>
    </w:p>
    <w:p w:rsidR="00F9377B" w:rsidRDefault="00F149A7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 xml:space="preserve">Διεξοδικός έλεγχος του εσωτερικού του σώματος του πυροσβεστήρα  με ιδιαίτερη προσοχή στα σημεία </w:t>
      </w:r>
      <w:r w:rsidR="00BB0020">
        <w:rPr>
          <w:i/>
        </w:rPr>
        <w:t>συγκόλλησης</w:t>
      </w:r>
      <w:r>
        <w:rPr>
          <w:i/>
        </w:rPr>
        <w:t xml:space="preserve"> </w:t>
      </w:r>
    </w:p>
    <w:p w:rsidR="00534C90" w:rsidRDefault="00534C90" w:rsidP="00534C90">
      <w:pPr>
        <w:widowControl/>
        <w:suppressAutoHyphens/>
        <w:autoSpaceDE/>
        <w:autoSpaceDN/>
        <w:adjustRightInd/>
        <w:ind w:left="795"/>
        <w:jc w:val="both"/>
        <w:rPr>
          <w:i/>
        </w:rPr>
      </w:pPr>
    </w:p>
    <w:p w:rsidR="00534C90" w:rsidRPr="00534C90" w:rsidRDefault="00534C90" w:rsidP="00534C90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 xml:space="preserve">Λύσιμο κλείστρου ,αντικατάσταση </w:t>
      </w:r>
      <w:proofErr w:type="spellStart"/>
      <w:r>
        <w:rPr>
          <w:i/>
        </w:rPr>
        <w:t>στεγανοποιητικών</w:t>
      </w:r>
      <w:proofErr w:type="spellEnd"/>
      <w:r>
        <w:rPr>
          <w:i/>
        </w:rPr>
        <w:t xml:space="preserve"> ,</w:t>
      </w:r>
      <w:r w:rsidR="00F149A7">
        <w:rPr>
          <w:i/>
        </w:rPr>
        <w:t xml:space="preserve"> </w:t>
      </w:r>
      <w:r>
        <w:rPr>
          <w:i/>
        </w:rPr>
        <w:t xml:space="preserve">λίπανση κινούμενων μερών </w:t>
      </w:r>
    </w:p>
    <w:p w:rsidR="00534C90" w:rsidRDefault="00534C90" w:rsidP="00534C90">
      <w:pPr>
        <w:widowControl/>
        <w:suppressAutoHyphens/>
        <w:autoSpaceDE/>
        <w:autoSpaceDN/>
        <w:adjustRightInd/>
        <w:ind w:left="795"/>
        <w:jc w:val="both"/>
        <w:rPr>
          <w:i/>
        </w:rPr>
      </w:pPr>
    </w:p>
    <w:p w:rsidR="00534C90" w:rsidRDefault="00534C90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>Έλεγχος πυροσβεστικής σκόνης</w:t>
      </w:r>
      <w:r w:rsidR="00F149A7">
        <w:rPr>
          <w:i/>
        </w:rPr>
        <w:t xml:space="preserve"> ώστε να είναι αφράτη και όχι πετρωμένη και να εξασφαλίζεται η ελεύθερη ροή της από το σωλήνα εκτόξευσης  </w:t>
      </w:r>
      <w:r>
        <w:rPr>
          <w:i/>
        </w:rPr>
        <w:t xml:space="preserve">,επανατοποθέτηση σκόνης και συμπλήρωση της </w:t>
      </w:r>
      <w:r w:rsidR="00F149A7">
        <w:rPr>
          <w:i/>
        </w:rPr>
        <w:t xml:space="preserve">κατά περίπτωση </w:t>
      </w:r>
    </w:p>
    <w:p w:rsidR="00534C90" w:rsidRDefault="00534C90" w:rsidP="00534C90">
      <w:pPr>
        <w:widowControl/>
        <w:suppressAutoHyphens/>
        <w:autoSpaceDE/>
        <w:autoSpaceDN/>
        <w:adjustRightInd/>
        <w:ind w:left="795"/>
        <w:jc w:val="both"/>
        <w:rPr>
          <w:i/>
        </w:rPr>
      </w:pPr>
    </w:p>
    <w:p w:rsidR="00A94B35" w:rsidRDefault="00534C90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>Εισαγωγή προωθητικού αερίου</w:t>
      </w:r>
    </w:p>
    <w:p w:rsidR="00534C90" w:rsidRDefault="00534C90" w:rsidP="00534C90">
      <w:pPr>
        <w:widowControl/>
        <w:suppressAutoHyphens/>
        <w:autoSpaceDE/>
        <w:autoSpaceDN/>
        <w:adjustRightInd/>
        <w:jc w:val="both"/>
        <w:rPr>
          <w:i/>
        </w:rPr>
      </w:pPr>
    </w:p>
    <w:p w:rsidR="00534C90" w:rsidRDefault="00534C90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>Έλεγχος στεγανότητας πυροσβεστήρα</w:t>
      </w:r>
    </w:p>
    <w:p w:rsidR="00534C90" w:rsidRDefault="00534C90" w:rsidP="00534C90">
      <w:pPr>
        <w:widowControl/>
        <w:suppressAutoHyphens/>
        <w:autoSpaceDE/>
        <w:autoSpaceDN/>
        <w:adjustRightInd/>
        <w:jc w:val="both"/>
        <w:rPr>
          <w:i/>
        </w:rPr>
      </w:pPr>
    </w:p>
    <w:p w:rsidR="00534C90" w:rsidRDefault="00534C90" w:rsidP="00A94B35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>Τοποθέτηση ειδικού δακτυλίου ελέγχου μεταξύ σώματος και κλείστρου</w:t>
      </w:r>
      <w:r w:rsidR="00AC5F09">
        <w:rPr>
          <w:i/>
        </w:rPr>
        <w:t>(διαφορετικό χρώμα κάθε χρόνο )</w:t>
      </w:r>
    </w:p>
    <w:p w:rsidR="00534C90" w:rsidRDefault="00534C90" w:rsidP="00534C90">
      <w:pPr>
        <w:widowControl/>
        <w:suppressAutoHyphens/>
        <w:autoSpaceDE/>
        <w:autoSpaceDN/>
        <w:adjustRightInd/>
        <w:jc w:val="both"/>
        <w:rPr>
          <w:i/>
        </w:rPr>
      </w:pPr>
    </w:p>
    <w:p w:rsidR="002F7DA8" w:rsidRDefault="00AC5F09" w:rsidP="002F5233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i/>
        </w:rPr>
      </w:pPr>
      <w:r>
        <w:rPr>
          <w:i/>
        </w:rPr>
        <w:t>Συναρμολόγηση του πυροσβεστήρα σύμφωνα με τις οδηγίες του κατασκευαστή και έλεγχος της ορθότητας του ευανάγνωστου των οδηγιών λειτουργίας ,συμπλήρωση λεπτομερώς της ετικέτας ελέγχου ,συντήρησης και λειτουργίας</w:t>
      </w:r>
    </w:p>
    <w:p w:rsidR="00214363" w:rsidRDefault="00214363" w:rsidP="00214363">
      <w:pPr>
        <w:pStyle w:val="a4"/>
        <w:rPr>
          <w:i/>
        </w:rPr>
      </w:pPr>
    </w:p>
    <w:p w:rsidR="00214363" w:rsidRDefault="00214363" w:rsidP="00214363">
      <w:pPr>
        <w:widowControl/>
        <w:suppressAutoHyphens/>
        <w:autoSpaceDE/>
        <w:autoSpaceDN/>
        <w:adjustRightInd/>
        <w:ind w:left="795"/>
        <w:jc w:val="both"/>
        <w:rPr>
          <w:i/>
        </w:rPr>
      </w:pPr>
    </w:p>
    <w:p w:rsidR="00214363" w:rsidRDefault="00214363" w:rsidP="00214363">
      <w:pPr>
        <w:widowControl/>
        <w:suppressAutoHyphens/>
        <w:autoSpaceDE/>
        <w:autoSpaceDN/>
        <w:adjustRightInd/>
        <w:ind w:left="795"/>
        <w:jc w:val="both"/>
        <w:rPr>
          <w:i/>
        </w:rPr>
      </w:pPr>
    </w:p>
    <w:p w:rsidR="00214363" w:rsidRDefault="00214363" w:rsidP="00214363">
      <w:pPr>
        <w:spacing w:after="120"/>
        <w:ind w:left="567"/>
        <w:jc w:val="both"/>
        <w:rPr>
          <w:i/>
        </w:rPr>
      </w:pPr>
      <w:r>
        <w:rPr>
          <w:i/>
        </w:rPr>
        <w:t xml:space="preserve">Σημείωση: η ημερομηνία παραγωγής και προμήθειας  των ανωτέρω ειδών δε ξεπερνά πέντε (5) έτη ,επομένως και σύμφωνα με τους ισχύοντες </w:t>
      </w:r>
      <w:r w:rsidRPr="00601E2D">
        <w:rPr>
          <w:lang w:eastAsia="ar-SA"/>
        </w:rPr>
        <w:t xml:space="preserve"> </w:t>
      </w:r>
      <w:r w:rsidRPr="004E0565">
        <w:rPr>
          <w:i/>
        </w:rPr>
        <w:t>κανονισμούς  Πυροπροστασίας και πυροσβεστικές διατάξεις</w:t>
      </w:r>
      <w:r>
        <w:rPr>
          <w:i/>
        </w:rPr>
        <w:t xml:space="preserve"> δεν απαιτείται η αναγόμωση τους ,παρά μόνον αν διαπιστωθεί ότι δεν διαθέτουν κατασβεστικό μέσο ή αυτό είναι σε κακή κατάσταση λόγω περιβαλλοντικών συνθηκών ,</w:t>
      </w:r>
      <w:proofErr w:type="spellStart"/>
      <w:r>
        <w:rPr>
          <w:i/>
        </w:rPr>
        <w:t>κ.α</w:t>
      </w:r>
      <w:proofErr w:type="spellEnd"/>
    </w:p>
    <w:p w:rsidR="00AC5F09" w:rsidRDefault="00AC5F09" w:rsidP="00AC5F09">
      <w:pPr>
        <w:pStyle w:val="a4"/>
        <w:rPr>
          <w:i/>
        </w:rPr>
      </w:pPr>
    </w:p>
    <w:p w:rsidR="00214363" w:rsidRDefault="00214363" w:rsidP="00AC5F09">
      <w:pPr>
        <w:pStyle w:val="a4"/>
        <w:rPr>
          <w:i/>
        </w:rPr>
      </w:pPr>
    </w:p>
    <w:p w:rsidR="00214363" w:rsidRPr="00372C03" w:rsidRDefault="00214363" w:rsidP="00AC5F09">
      <w:pPr>
        <w:pStyle w:val="a4"/>
        <w:rPr>
          <w:i/>
          <w:u w:val="single"/>
        </w:rPr>
      </w:pPr>
    </w:p>
    <w:p w:rsidR="00AC5F09" w:rsidRPr="00372C03" w:rsidRDefault="00372C03" w:rsidP="00AC5F09">
      <w:pPr>
        <w:widowControl/>
        <w:suppressAutoHyphens/>
        <w:autoSpaceDE/>
        <w:autoSpaceDN/>
        <w:adjustRightInd/>
        <w:ind w:left="795"/>
        <w:jc w:val="both"/>
        <w:rPr>
          <w:i/>
          <w:u w:val="single"/>
        </w:rPr>
      </w:pPr>
      <w:r w:rsidRPr="00372C03">
        <w:rPr>
          <w:i/>
          <w:u w:val="single"/>
        </w:rPr>
        <w:t xml:space="preserve">Β. </w:t>
      </w:r>
      <w:r w:rsidR="00AC5F09" w:rsidRPr="00372C03">
        <w:rPr>
          <w:i/>
          <w:u w:val="single"/>
        </w:rPr>
        <w:t>ΤΕΧΝΙΚΗ ΠΕΡΙΓΡΑΦΗ ΑΝΑΓΟΜΩΣΗΣ</w:t>
      </w:r>
    </w:p>
    <w:p w:rsidR="00214363" w:rsidRPr="002F5233" w:rsidRDefault="00214363" w:rsidP="00AC5F09">
      <w:pPr>
        <w:widowControl/>
        <w:suppressAutoHyphens/>
        <w:autoSpaceDE/>
        <w:autoSpaceDN/>
        <w:adjustRightInd/>
        <w:ind w:left="795"/>
        <w:jc w:val="both"/>
        <w:rPr>
          <w:i/>
        </w:rPr>
      </w:pPr>
    </w:p>
    <w:p w:rsidR="00CA2355" w:rsidRDefault="00CA2355" w:rsidP="00CA2355">
      <w:pPr>
        <w:spacing w:after="120"/>
        <w:ind w:left="567"/>
        <w:jc w:val="both"/>
        <w:rPr>
          <w:i/>
          <w:u w:val="single"/>
        </w:rPr>
      </w:pPr>
      <w:r>
        <w:rPr>
          <w:i/>
        </w:rPr>
        <w:t>Σημείωση:</w:t>
      </w:r>
      <w:r w:rsidRPr="00214363">
        <w:rPr>
          <w:i/>
        </w:rPr>
        <w:t xml:space="preserve"> </w:t>
      </w:r>
      <w:r w:rsidRPr="00CA2355">
        <w:rPr>
          <w:i/>
          <w:u w:val="single"/>
        </w:rPr>
        <w:t xml:space="preserve">σύμφωνα με τους ισχύοντες </w:t>
      </w:r>
      <w:r w:rsidRPr="00CA2355">
        <w:rPr>
          <w:u w:val="single"/>
          <w:lang w:eastAsia="ar-SA"/>
        </w:rPr>
        <w:t xml:space="preserve"> </w:t>
      </w:r>
      <w:r w:rsidRPr="00CA2355">
        <w:rPr>
          <w:i/>
          <w:u w:val="single"/>
        </w:rPr>
        <w:t>κανονισμούς  Πυροπροστασίας και πυροσβεστικές διατάξεις ,η</w:t>
      </w:r>
      <w:r>
        <w:rPr>
          <w:i/>
          <w:u w:val="single"/>
        </w:rPr>
        <w:t xml:space="preserve"> διαδικασία της αναγόμωσης πραγματοποιείται υποχρεωτικά  κάθε πέντε (5) έτη από την ημερομηνία  </w:t>
      </w:r>
      <w:r w:rsidR="00372C03">
        <w:rPr>
          <w:i/>
          <w:u w:val="single"/>
        </w:rPr>
        <w:t xml:space="preserve"> </w:t>
      </w:r>
      <w:r w:rsidRPr="00CA2355">
        <w:rPr>
          <w:i/>
          <w:u w:val="single"/>
        </w:rPr>
        <w:t xml:space="preserve">παραγωγής και προμήθειας  του </w:t>
      </w:r>
      <w:r w:rsidR="00372C03">
        <w:rPr>
          <w:i/>
          <w:u w:val="single"/>
        </w:rPr>
        <w:t xml:space="preserve"> ήτοι το 5</w:t>
      </w:r>
      <w:r w:rsidR="00372C03" w:rsidRPr="00372C03">
        <w:rPr>
          <w:i/>
          <w:u w:val="single"/>
          <w:vertAlign w:val="superscript"/>
        </w:rPr>
        <w:t>ο</w:t>
      </w:r>
      <w:r w:rsidR="00372C03">
        <w:rPr>
          <w:i/>
          <w:u w:val="single"/>
        </w:rPr>
        <w:t xml:space="preserve"> ,10</w:t>
      </w:r>
      <w:r w:rsidR="00372C03" w:rsidRPr="00372C03">
        <w:rPr>
          <w:i/>
          <w:u w:val="single"/>
          <w:vertAlign w:val="superscript"/>
        </w:rPr>
        <w:t>ο</w:t>
      </w:r>
      <w:r w:rsidR="00372C03">
        <w:rPr>
          <w:i/>
          <w:u w:val="single"/>
        </w:rPr>
        <w:t xml:space="preserve"> και 15</w:t>
      </w:r>
      <w:r w:rsidR="00372C03" w:rsidRPr="00372C03">
        <w:rPr>
          <w:i/>
          <w:u w:val="single"/>
          <w:vertAlign w:val="superscript"/>
        </w:rPr>
        <w:t>ο</w:t>
      </w:r>
      <w:r w:rsidR="00372C03">
        <w:rPr>
          <w:i/>
          <w:u w:val="single"/>
        </w:rPr>
        <w:t xml:space="preserve"> έτος από την ημερομηνία κατασκευής των  ( για τους πυροσβεστήρες </w:t>
      </w:r>
      <w:r w:rsidR="00372C03">
        <w:rPr>
          <w:i/>
          <w:u w:val="single"/>
          <w:lang w:val="en-US"/>
        </w:rPr>
        <w:t>CO</w:t>
      </w:r>
      <w:r w:rsidR="00372C03" w:rsidRPr="00372C03">
        <w:rPr>
          <w:i/>
          <w:u w:val="single"/>
        </w:rPr>
        <w:t xml:space="preserve">2 </w:t>
      </w:r>
      <w:r w:rsidR="00372C03">
        <w:rPr>
          <w:i/>
          <w:u w:val="single"/>
        </w:rPr>
        <w:t xml:space="preserve">η διαδικασία επιβάλλεται </w:t>
      </w:r>
      <w:proofErr w:type="spellStart"/>
      <w:r w:rsidR="00372C03">
        <w:rPr>
          <w:i/>
          <w:u w:val="single"/>
        </w:rPr>
        <w:t>ανα</w:t>
      </w:r>
      <w:proofErr w:type="spellEnd"/>
      <w:r w:rsidR="00372C03">
        <w:rPr>
          <w:i/>
          <w:u w:val="single"/>
        </w:rPr>
        <w:t xml:space="preserve"> 10 έτη)</w:t>
      </w:r>
    </w:p>
    <w:p w:rsidR="00372C03" w:rsidRDefault="007729F9" w:rsidP="00CA2355">
      <w:pPr>
        <w:spacing w:after="120"/>
        <w:ind w:left="567"/>
        <w:jc w:val="both"/>
        <w:rPr>
          <w:lang w:val="en-US"/>
        </w:rPr>
      </w:pPr>
      <w:r>
        <w:t xml:space="preserve">Οι απαραίτητες </w:t>
      </w:r>
      <w:r>
        <w:rPr>
          <w:b/>
        </w:rPr>
        <w:t xml:space="preserve">εργασίες αναγόμωσης  </w:t>
      </w:r>
      <w:r>
        <w:t xml:space="preserve"> περιγράφονται συνοπτικά παρακάτω </w:t>
      </w:r>
      <w:r w:rsidRPr="007729F9">
        <w:t>:</w:t>
      </w:r>
    </w:p>
    <w:p w:rsidR="00CA7576" w:rsidRPr="00CA7576" w:rsidRDefault="00CA7576" w:rsidP="00CA7576">
      <w:pPr>
        <w:pStyle w:val="a4"/>
        <w:numPr>
          <w:ilvl w:val="0"/>
          <w:numId w:val="22"/>
        </w:numPr>
        <w:spacing w:after="120"/>
        <w:jc w:val="both"/>
        <w:rPr>
          <w:lang w:val="en-US"/>
        </w:rPr>
      </w:pPr>
      <w:r w:rsidRPr="00CA7576">
        <w:rPr>
          <w:i/>
        </w:rPr>
        <w:t>Αφαίρεση προωθητικού αερίου</w:t>
      </w:r>
      <w:r>
        <w:t xml:space="preserve"> </w:t>
      </w:r>
    </w:p>
    <w:p w:rsidR="00CA7576" w:rsidRPr="00CA7576" w:rsidRDefault="00CA7576" w:rsidP="00CA7576">
      <w:pPr>
        <w:pStyle w:val="a4"/>
        <w:numPr>
          <w:ilvl w:val="0"/>
          <w:numId w:val="22"/>
        </w:numPr>
        <w:spacing w:after="120"/>
        <w:jc w:val="both"/>
        <w:rPr>
          <w:i/>
        </w:rPr>
      </w:pPr>
      <w:r w:rsidRPr="00CA7576">
        <w:rPr>
          <w:i/>
        </w:rPr>
        <w:t xml:space="preserve">Άνοιγμα του πυροσβεστήρα ,κένωση του </w:t>
      </w:r>
      <w:proofErr w:type="spellStart"/>
      <w:r w:rsidRPr="00CA7576">
        <w:rPr>
          <w:i/>
        </w:rPr>
        <w:t>πυροσβεστήρα,απόρριψη</w:t>
      </w:r>
      <w:proofErr w:type="spellEnd"/>
      <w:r w:rsidRPr="00CA7576">
        <w:rPr>
          <w:i/>
        </w:rPr>
        <w:t xml:space="preserve"> του παλαιού υλικού </w:t>
      </w:r>
    </w:p>
    <w:p w:rsidR="00CA7576" w:rsidRPr="00CA7576" w:rsidRDefault="00CA7576" w:rsidP="00CA7576">
      <w:pPr>
        <w:pStyle w:val="a4"/>
        <w:numPr>
          <w:ilvl w:val="0"/>
          <w:numId w:val="22"/>
        </w:numPr>
        <w:spacing w:after="120"/>
        <w:jc w:val="both"/>
        <w:rPr>
          <w:i/>
        </w:rPr>
      </w:pPr>
      <w:r w:rsidRPr="00CA7576">
        <w:rPr>
          <w:i/>
        </w:rPr>
        <w:t xml:space="preserve">Πολύ καλός εσωτερικός έλεγχος της φιάλης </w:t>
      </w:r>
    </w:p>
    <w:p w:rsidR="00CA7576" w:rsidRPr="00CA7576" w:rsidRDefault="00CA7576" w:rsidP="00CA7576">
      <w:pPr>
        <w:pStyle w:val="a4"/>
        <w:numPr>
          <w:ilvl w:val="0"/>
          <w:numId w:val="22"/>
        </w:numPr>
        <w:spacing w:after="120"/>
        <w:jc w:val="both"/>
        <w:rPr>
          <w:i/>
        </w:rPr>
      </w:pPr>
      <w:r w:rsidRPr="00CA7576">
        <w:rPr>
          <w:i/>
        </w:rPr>
        <w:t xml:space="preserve">Γέμισμα με νέα ξηρά σκόνη  ABC 40 % </w:t>
      </w:r>
    </w:p>
    <w:p w:rsidR="00CA7576" w:rsidRPr="00CA7576" w:rsidRDefault="00CA7576" w:rsidP="00CA7576">
      <w:pPr>
        <w:pStyle w:val="a4"/>
        <w:numPr>
          <w:ilvl w:val="0"/>
          <w:numId w:val="22"/>
        </w:numPr>
        <w:spacing w:after="120"/>
        <w:jc w:val="both"/>
        <w:rPr>
          <w:i/>
        </w:rPr>
      </w:pPr>
      <w:r w:rsidRPr="00CA7576">
        <w:rPr>
          <w:i/>
        </w:rPr>
        <w:t xml:space="preserve">Πρεσάρισμα του πυροσβεστήρα με προωθητικό αέριο </w:t>
      </w:r>
    </w:p>
    <w:p w:rsidR="00CA7576" w:rsidRPr="00CA7576" w:rsidRDefault="00CA7576" w:rsidP="00CA7576">
      <w:pPr>
        <w:pStyle w:val="a4"/>
        <w:numPr>
          <w:ilvl w:val="0"/>
          <w:numId w:val="22"/>
        </w:numPr>
        <w:spacing w:after="120"/>
        <w:jc w:val="both"/>
        <w:rPr>
          <w:i/>
        </w:rPr>
      </w:pPr>
      <w:r w:rsidRPr="00CA7576">
        <w:rPr>
          <w:i/>
        </w:rPr>
        <w:t xml:space="preserve">Τοποθέτηση δακτυλίου ελέγχου </w:t>
      </w:r>
    </w:p>
    <w:p w:rsidR="007729F9" w:rsidRDefault="007729F9" w:rsidP="00CA2355">
      <w:pPr>
        <w:spacing w:after="120"/>
        <w:ind w:left="567"/>
        <w:jc w:val="both"/>
        <w:rPr>
          <w:i/>
          <w:u w:val="single"/>
        </w:rPr>
      </w:pPr>
    </w:p>
    <w:p w:rsidR="00CA7576" w:rsidRPr="00372C03" w:rsidRDefault="00CA7576" w:rsidP="00CA7576">
      <w:pPr>
        <w:widowControl/>
        <w:suppressAutoHyphens/>
        <w:autoSpaceDE/>
        <w:autoSpaceDN/>
        <w:adjustRightInd/>
        <w:ind w:left="795"/>
        <w:jc w:val="both"/>
        <w:rPr>
          <w:i/>
          <w:u w:val="single"/>
        </w:rPr>
      </w:pPr>
      <w:r>
        <w:rPr>
          <w:i/>
          <w:u w:val="single"/>
        </w:rPr>
        <w:t>Γ</w:t>
      </w:r>
      <w:r w:rsidRPr="00372C03">
        <w:rPr>
          <w:i/>
          <w:u w:val="single"/>
        </w:rPr>
        <w:t xml:space="preserve">. </w:t>
      </w:r>
      <w:r>
        <w:rPr>
          <w:i/>
          <w:u w:val="single"/>
        </w:rPr>
        <w:t>ΤΕΧΝΙΚΗ ΠΕΡΙΓΡΑΦΗ  ΥΔΡΑΥΛΙΚΗΣ ΔΟΚΙΜΗΣ</w:t>
      </w:r>
    </w:p>
    <w:p w:rsidR="00BB0020" w:rsidRDefault="00BB0020" w:rsidP="00BB0020">
      <w:pPr>
        <w:spacing w:after="120"/>
        <w:ind w:left="567"/>
        <w:jc w:val="both"/>
        <w:rPr>
          <w:i/>
        </w:rPr>
      </w:pPr>
    </w:p>
    <w:p w:rsidR="00BB0020" w:rsidRPr="00BB0020" w:rsidRDefault="00BB0020" w:rsidP="00BB0020">
      <w:pPr>
        <w:spacing w:after="120"/>
        <w:ind w:left="567"/>
        <w:jc w:val="both"/>
        <w:rPr>
          <w:i/>
          <w:u w:val="single"/>
        </w:rPr>
      </w:pPr>
      <w:r>
        <w:rPr>
          <w:i/>
        </w:rPr>
        <w:t>Σημείωση:</w:t>
      </w:r>
      <w:r w:rsidRPr="00214363">
        <w:rPr>
          <w:i/>
        </w:rPr>
        <w:t xml:space="preserve"> </w:t>
      </w:r>
      <w:r w:rsidRPr="00CA2355">
        <w:rPr>
          <w:i/>
          <w:u w:val="single"/>
        </w:rPr>
        <w:t xml:space="preserve">σύμφωνα με τους ισχύοντες </w:t>
      </w:r>
      <w:r w:rsidRPr="00CA2355">
        <w:rPr>
          <w:u w:val="single"/>
          <w:lang w:eastAsia="ar-SA"/>
        </w:rPr>
        <w:t xml:space="preserve"> </w:t>
      </w:r>
      <w:r w:rsidRPr="00CA2355">
        <w:rPr>
          <w:i/>
          <w:u w:val="single"/>
        </w:rPr>
        <w:t>κανονισμούς  Πυροπροστασίας και πυροσβεστικές διατάξεις ,η</w:t>
      </w:r>
      <w:r>
        <w:rPr>
          <w:i/>
          <w:u w:val="single"/>
        </w:rPr>
        <w:t xml:space="preserve"> διαδικασία της υδραυλικής δοκιμής  πραγματοποιείται υποχρεωτικά  κάθε δέκα (10) έτη από την ημερομηνία   </w:t>
      </w:r>
      <w:r w:rsidRPr="00CA2355">
        <w:rPr>
          <w:i/>
          <w:u w:val="single"/>
        </w:rPr>
        <w:t xml:space="preserve">παραγωγής και προμήθειας  του </w:t>
      </w:r>
      <w:r>
        <w:rPr>
          <w:i/>
          <w:u w:val="single"/>
        </w:rPr>
        <w:t xml:space="preserve"> πυροσβεστήρα </w:t>
      </w:r>
    </w:p>
    <w:p w:rsidR="00A81D28" w:rsidRPr="00A81D28" w:rsidRDefault="00A81D28" w:rsidP="00A81D28">
      <w:pPr>
        <w:spacing w:after="120"/>
        <w:ind w:left="567"/>
        <w:jc w:val="both"/>
      </w:pPr>
      <w:r>
        <w:t xml:space="preserve">Οι απαραίτητες </w:t>
      </w:r>
      <w:r>
        <w:rPr>
          <w:b/>
        </w:rPr>
        <w:t xml:space="preserve">εργασίες υδραυλικής δοκιμής   </w:t>
      </w:r>
      <w:r>
        <w:t xml:space="preserve"> περιγράφονται συνοπτικά παρακάτω </w:t>
      </w:r>
      <w:r w:rsidRPr="007729F9">
        <w:t>:</w:t>
      </w:r>
    </w:p>
    <w:p w:rsidR="00F5306A" w:rsidRPr="00F5306A" w:rsidRDefault="00F5306A" w:rsidP="00F5306A">
      <w:pPr>
        <w:spacing w:after="120"/>
        <w:jc w:val="both"/>
      </w:pPr>
    </w:p>
    <w:p w:rsidR="00F5306A" w:rsidRPr="00CA7576" w:rsidRDefault="00F5306A" w:rsidP="00F5306A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 w:rsidRPr="00CA7576">
        <w:rPr>
          <w:i/>
        </w:rPr>
        <w:t>Άνοιγμα του πυροσβεστήρα ,κένωση του πυροσβεστήρα</w:t>
      </w:r>
      <w:r>
        <w:rPr>
          <w:i/>
        </w:rPr>
        <w:t xml:space="preserve"> </w:t>
      </w:r>
      <w:r w:rsidRPr="00CA7576">
        <w:rPr>
          <w:i/>
        </w:rPr>
        <w:t xml:space="preserve">,απόρριψη του παλαιού υλικού </w:t>
      </w:r>
    </w:p>
    <w:p w:rsidR="00F5306A" w:rsidRDefault="00F5306A" w:rsidP="00F5306A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>
        <w:rPr>
          <w:i/>
        </w:rPr>
        <w:t>Υδραυλική δοκιμή του πυροσβεστήρα με πρεσάρισμα του κελύφους με νερό .Δοκιμή της αντοχής του πυροσβεστήρα</w:t>
      </w:r>
    </w:p>
    <w:p w:rsidR="00F5306A" w:rsidRPr="00F5306A" w:rsidRDefault="00F5306A" w:rsidP="00F5306A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>
        <w:rPr>
          <w:i/>
        </w:rPr>
        <w:t>Εφόσον ο πυροσβεστήρας αντέξει την υδραυλική δοκιμή</w:t>
      </w:r>
      <w:r w:rsidRPr="00CA7576">
        <w:rPr>
          <w:i/>
        </w:rPr>
        <w:t xml:space="preserve"> </w:t>
      </w:r>
      <w:r>
        <w:rPr>
          <w:i/>
        </w:rPr>
        <w:t xml:space="preserve">χωρίς να δημιουργηθούν </w:t>
      </w:r>
      <w:proofErr w:type="spellStart"/>
      <w:r>
        <w:rPr>
          <w:i/>
        </w:rPr>
        <w:t>ρηγματώσεις</w:t>
      </w:r>
      <w:proofErr w:type="spellEnd"/>
      <w:r>
        <w:rPr>
          <w:i/>
        </w:rPr>
        <w:t xml:space="preserve">/παραμορφώσεις στο κέλυφος ,πραγματοποιείται αναγόμωση με νέα ξηρά σκόνη </w:t>
      </w:r>
      <w:r w:rsidRPr="00F5306A">
        <w:rPr>
          <w:i/>
        </w:rPr>
        <w:t xml:space="preserve">  ABC 40 % </w:t>
      </w:r>
    </w:p>
    <w:p w:rsidR="00F5306A" w:rsidRDefault="00F5306A" w:rsidP="00F5306A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 w:rsidRPr="00CA7576">
        <w:rPr>
          <w:i/>
        </w:rPr>
        <w:t xml:space="preserve">Πρεσάρισμα του πυροσβεστήρα με προωθητικό αέριο </w:t>
      </w:r>
    </w:p>
    <w:p w:rsidR="00CE7621" w:rsidRDefault="00CE7621" w:rsidP="00F5306A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>
        <w:rPr>
          <w:i/>
        </w:rPr>
        <w:t>Κλείσιμο του πυροσβεστήρα</w:t>
      </w:r>
    </w:p>
    <w:p w:rsidR="00CE7621" w:rsidRPr="00CA7576" w:rsidRDefault="00CE7621" w:rsidP="00F5306A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>
        <w:rPr>
          <w:i/>
        </w:rPr>
        <w:t>Αλλαγή εξαρτημάτων (</w:t>
      </w:r>
      <w:proofErr w:type="spellStart"/>
      <w:r>
        <w:rPr>
          <w:i/>
        </w:rPr>
        <w:t>μανόμετρο,κλείστρο,σωλήνα</w:t>
      </w:r>
      <w:proofErr w:type="spellEnd"/>
      <w:r>
        <w:rPr>
          <w:i/>
        </w:rPr>
        <w:t xml:space="preserve"> εκτόξευσης ) σε περίπτωση που είναι </w:t>
      </w:r>
      <w:proofErr w:type="spellStart"/>
      <w:r>
        <w:rPr>
          <w:i/>
        </w:rPr>
        <w:t>ελλατωματικά</w:t>
      </w:r>
      <w:proofErr w:type="spellEnd"/>
      <w:r>
        <w:rPr>
          <w:i/>
        </w:rPr>
        <w:t xml:space="preserve"> </w:t>
      </w:r>
    </w:p>
    <w:p w:rsidR="002F7DA8" w:rsidRPr="00CE7621" w:rsidRDefault="00F5306A" w:rsidP="00CE7621">
      <w:pPr>
        <w:pStyle w:val="a4"/>
        <w:numPr>
          <w:ilvl w:val="0"/>
          <w:numId w:val="23"/>
        </w:numPr>
        <w:spacing w:after="120"/>
        <w:jc w:val="both"/>
        <w:rPr>
          <w:i/>
        </w:rPr>
      </w:pPr>
      <w:r w:rsidRPr="00CA7576">
        <w:rPr>
          <w:i/>
        </w:rPr>
        <w:t xml:space="preserve">Τοποθέτηση δακτυλίου ελέγχου </w:t>
      </w:r>
    </w:p>
    <w:p w:rsidR="00F01A4A" w:rsidRPr="00023664" w:rsidRDefault="00F01A4A" w:rsidP="00F5306A">
      <w:pPr>
        <w:spacing w:before="120"/>
        <w:ind w:left="360" w:firstLine="360"/>
        <w:jc w:val="both"/>
        <w:rPr>
          <w:b/>
          <w:i/>
          <w:color w:val="FF0000"/>
        </w:rPr>
      </w:pPr>
    </w:p>
    <w:p w:rsidR="002F7DA8" w:rsidRPr="00CB4CA9" w:rsidRDefault="002F7DA8" w:rsidP="00FC70C5">
      <w:pPr>
        <w:spacing w:before="120"/>
        <w:ind w:left="360" w:firstLine="360"/>
        <w:jc w:val="both"/>
        <w:rPr>
          <w:b/>
          <w:i/>
        </w:rPr>
      </w:pPr>
      <w:r w:rsidRPr="00CB4CA9">
        <w:rPr>
          <w:b/>
          <w:i/>
        </w:rPr>
        <w:t xml:space="preserve">Υποχρεώσεις αναδόχου –Ειδικοί όροι </w:t>
      </w:r>
    </w:p>
    <w:p w:rsidR="0095047C" w:rsidRPr="00F5306A" w:rsidRDefault="002F5233" w:rsidP="00F5306A">
      <w:pPr>
        <w:pStyle w:val="a4"/>
        <w:numPr>
          <w:ilvl w:val="0"/>
          <w:numId w:val="21"/>
        </w:numPr>
        <w:spacing w:before="120"/>
        <w:jc w:val="both"/>
        <w:rPr>
          <w:u w:val="single"/>
        </w:rPr>
      </w:pPr>
      <w:r w:rsidRPr="002F5233">
        <w:t xml:space="preserve">Ο ανάδοχος υποχρεούται να διαθέτει </w:t>
      </w:r>
      <w:r>
        <w:t>-</w:t>
      </w:r>
      <w:r w:rsidRPr="002F5233">
        <w:t>και να καταθέσει στα δικαιολογητικά</w:t>
      </w:r>
      <w:r>
        <w:t xml:space="preserve"> - </w:t>
      </w:r>
      <w:r w:rsidRPr="002F5233">
        <w:t xml:space="preserve">την απαραίτητη άδεια ,σύμφωνα με την Κ.Υ.Α 618/43/20-01-2005 «Προϋποθέσεις </w:t>
      </w:r>
      <w:r w:rsidRPr="002F5233">
        <w:lastRenderedPageBreak/>
        <w:t>διάθεσης στην αγορά πυροσβεστήρων</w:t>
      </w:r>
      <w:r>
        <w:t xml:space="preserve"> </w:t>
      </w:r>
      <w:r w:rsidRPr="002F5233">
        <w:t>,διαδικασίες συντήρησης  ,επανελέγχου και αναγόμωσης »  ( ΦΕΚ Β΄52)  όπως τροποποιήθηκε από τη Κ.Υ.Α 17230 /1-9-2005 και ισχύει  για την εκτέλεση των εργασιών συντήρησης ,αναγόμωσης ,υδραυλικής δοκιμής</w:t>
      </w:r>
      <w:r>
        <w:rPr>
          <w:u w:val="single"/>
        </w:rPr>
        <w:t xml:space="preserve"> </w:t>
      </w:r>
      <w:r>
        <w:t xml:space="preserve"> </w:t>
      </w:r>
    </w:p>
    <w:p w:rsidR="002D0B65" w:rsidRPr="002D0B65" w:rsidRDefault="002D0B65" w:rsidP="002D0B65">
      <w:pPr>
        <w:pStyle w:val="a4"/>
        <w:rPr>
          <w:i/>
        </w:rPr>
      </w:pPr>
    </w:p>
    <w:p w:rsidR="002F7DA8" w:rsidRPr="002D0B65" w:rsidRDefault="0095047C" w:rsidP="002D0B65">
      <w:pPr>
        <w:pStyle w:val="a4"/>
        <w:numPr>
          <w:ilvl w:val="0"/>
          <w:numId w:val="21"/>
        </w:numPr>
        <w:spacing w:before="120"/>
        <w:jc w:val="both"/>
        <w:rPr>
          <w:i/>
        </w:rPr>
      </w:pPr>
      <w:r w:rsidRPr="002D0B65">
        <w:t>Εάν κατά τον επανέλεγχο διαπιστωθούν ακατάλληλοι πυροσβεστήρες ,αυτοί θα αποσυμπιέζονται , θα σημαδεύονται και θα επιστρέφονται στο Νοσοκομείο προς</w:t>
      </w:r>
      <w:r w:rsidRPr="0095047C">
        <w:t xml:space="preserve"> καταστροφή .</w:t>
      </w:r>
      <w:r w:rsidR="002F7DA8" w:rsidRPr="0095047C">
        <w:t xml:space="preserve"> </w:t>
      </w:r>
      <w:r>
        <w:t xml:space="preserve"> Τυχόν αντικατάσταση ακατάλληλου πυροσβεστήρα με καινούργιο ,θα γίνεται με ξεχωριστή χρέωση και μόνο μετά από υποβολή σχετικής προσφοράς του Αναδόχου </w:t>
      </w:r>
      <w:r w:rsidR="002A460A">
        <w:t xml:space="preserve"> ( το ίδιο ισχύει και σε περίπτωση που απαιτηθεί πλήρης αναγόμωση )</w:t>
      </w:r>
    </w:p>
    <w:p w:rsidR="0095047C" w:rsidRDefault="0095047C" w:rsidP="0095047C">
      <w:pPr>
        <w:pStyle w:val="a4"/>
        <w:numPr>
          <w:ilvl w:val="0"/>
          <w:numId w:val="21"/>
        </w:numPr>
        <w:spacing w:before="120"/>
        <w:jc w:val="both"/>
      </w:pPr>
      <w:r>
        <w:t xml:space="preserve">Όλες οι εργασίες ελέγχου ,συντήρησης και αναγόμωσης των πυροσβεστήρων θα γίνουν σε εφαρμογή της ισχύουσας Νομοθεσίας περί αυτών (  </w:t>
      </w:r>
      <w:r w:rsidRPr="002F5233">
        <w:t>Κ.Υ.Α 17230 /1-9-2005</w:t>
      </w:r>
      <w:r>
        <w:t xml:space="preserve">  ,ΦΕΚ 1218/Β/01-09-2005 )</w:t>
      </w:r>
      <w:r w:rsidR="002A460A">
        <w:t xml:space="preserve"> </w:t>
      </w:r>
    </w:p>
    <w:p w:rsidR="00FC70C5" w:rsidRPr="00FC70C5" w:rsidRDefault="0095047C" w:rsidP="002D0B65">
      <w:pPr>
        <w:pStyle w:val="a4"/>
        <w:numPr>
          <w:ilvl w:val="0"/>
          <w:numId w:val="21"/>
        </w:numPr>
        <w:spacing w:before="120"/>
        <w:jc w:val="both"/>
      </w:pPr>
      <w:r>
        <w:t xml:space="preserve">Μετά το τέλος των εργασιών ,ο Ανάδοχος υποχρεούται να παραδώσει στο Νοσοκομείο τις σχετικές δηλώσεις-βεβαιώσεις πλήρωσης των όρων καλής λειτουργίας και ασφάλειας των πυροσβεστήρων </w:t>
      </w:r>
      <w:r w:rsidR="00217B7B">
        <w:t xml:space="preserve"> και </w:t>
      </w:r>
      <w:r w:rsidR="00217B7B" w:rsidRPr="00217B7B">
        <w:rPr>
          <w:u w:val="single"/>
        </w:rPr>
        <w:t>σφραγισμένο και υπογεγραμμένο το Μητρώο Ετήσιας Συντήρησης</w:t>
      </w:r>
      <w:r w:rsidR="00217B7B">
        <w:t xml:space="preserve"> όπου θα αναγράφονται τα στοιχεία του κάθε πυροσβεστήρα ,έτος κατασκευής ,ημερομηνίες συντήρησης και τυχόν εξαρτήματα που τοποθετήθηκαν </w:t>
      </w:r>
    </w:p>
    <w:p w:rsidR="00FC70C5" w:rsidRPr="00FC70C5" w:rsidRDefault="00FC70C5" w:rsidP="00217B7B">
      <w:pPr>
        <w:pStyle w:val="a4"/>
        <w:spacing w:before="120"/>
        <w:ind w:left="1500"/>
        <w:jc w:val="both"/>
      </w:pPr>
    </w:p>
    <w:p w:rsidR="00A94B35" w:rsidRPr="002F7DA8" w:rsidRDefault="002D0B65" w:rsidP="002D0B65">
      <w:pPr>
        <w:pStyle w:val="a4"/>
        <w:numPr>
          <w:ilvl w:val="0"/>
          <w:numId w:val="21"/>
        </w:numPr>
        <w:spacing w:before="120"/>
        <w:jc w:val="both"/>
      </w:pPr>
      <w:r>
        <w:t xml:space="preserve"> Κατά τη παραλαβή των συντηρημένων πυροσβεστήρων ,το Νοσοκομείο έχει δικαίωμα να προβεί σε δειγματοληπτικό έλεγχο προκειμένου να εξακριβωθεί </w:t>
      </w:r>
      <w:r w:rsidR="00FC70C5">
        <w:t xml:space="preserve"> η σωστή λειτουργία τους </w:t>
      </w:r>
    </w:p>
    <w:p w:rsidR="008608D6" w:rsidRPr="002F7DA8" w:rsidRDefault="008608D6" w:rsidP="005002EA">
      <w:pPr>
        <w:spacing w:before="120"/>
        <w:ind w:left="360" w:firstLine="360"/>
        <w:jc w:val="both"/>
      </w:pPr>
    </w:p>
    <w:p w:rsidR="00FC70C5" w:rsidRPr="004C1706" w:rsidRDefault="00FC70C5" w:rsidP="00FC70C5">
      <w:pPr>
        <w:ind w:right="-514"/>
        <w:rPr>
          <w:b/>
        </w:rPr>
      </w:pPr>
      <w:r>
        <w:t xml:space="preserve">                                         </w:t>
      </w:r>
      <w:r w:rsidRPr="00121CA2">
        <w:t>H επιτροπή σύνταξης τεχνικών προδιαγραφών</w:t>
      </w:r>
    </w:p>
    <w:p w:rsidR="00F1169D" w:rsidRDefault="00F1169D" w:rsidP="00015FDF">
      <w:pPr>
        <w:pStyle w:val="a3"/>
        <w:kinsoku w:val="0"/>
        <w:overflowPunct w:val="0"/>
        <w:spacing w:before="25" w:line="260" w:lineRule="auto"/>
        <w:ind w:left="0" w:right="110"/>
        <w:jc w:val="both"/>
      </w:pPr>
    </w:p>
    <w:p w:rsidR="00F1169D" w:rsidRDefault="00015FDF" w:rsidP="00015FDF">
      <w:pPr>
        <w:pStyle w:val="a3"/>
        <w:tabs>
          <w:tab w:val="left" w:pos="2445"/>
        </w:tabs>
        <w:kinsoku w:val="0"/>
        <w:overflowPunct w:val="0"/>
        <w:spacing w:before="25"/>
        <w:ind w:left="0"/>
      </w:pPr>
      <w:r>
        <w:tab/>
      </w:r>
    </w:p>
    <w:tbl>
      <w:tblPr>
        <w:tblW w:w="0" w:type="auto"/>
        <w:jc w:val="center"/>
        <w:tblLook w:val="01E0"/>
      </w:tblPr>
      <w:tblGrid>
        <w:gridCol w:w="8839"/>
      </w:tblGrid>
      <w:tr w:rsidR="00015FDF" w:rsidRPr="00B15BB3">
        <w:trPr>
          <w:jc w:val="center"/>
        </w:trPr>
        <w:tc>
          <w:tcPr>
            <w:tcW w:w="4261" w:type="dxa"/>
          </w:tcPr>
          <w:p w:rsidR="00015FDF" w:rsidRDefault="00015FDF" w:rsidP="00015FDF"/>
        </w:tc>
      </w:tr>
      <w:tr w:rsidR="00015FDF" w:rsidRPr="004C1706">
        <w:trPr>
          <w:trHeight w:val="1415"/>
          <w:jc w:val="center"/>
        </w:trPr>
        <w:tc>
          <w:tcPr>
            <w:tcW w:w="4261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8613" w:type="dxa"/>
              <w:tblLook w:val="04A0"/>
            </w:tblPr>
            <w:tblGrid>
              <w:gridCol w:w="610"/>
              <w:gridCol w:w="4244"/>
              <w:gridCol w:w="3759"/>
            </w:tblGrid>
            <w:tr w:rsidR="00015FDF" w:rsidRPr="002E11E4" w:rsidTr="00F9377B">
              <w:trPr>
                <w:trHeight w:val="282"/>
              </w:trPr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5FDF" w:rsidRPr="002E11E4" w:rsidRDefault="00015FDF" w:rsidP="00015FD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2E11E4">
                    <w:rPr>
                      <w:rFonts w:ascii="Calibri" w:hAnsi="Calibri"/>
                      <w:b/>
                    </w:rPr>
                    <w:t>Α/Α</w:t>
                  </w:r>
                </w:p>
              </w:tc>
              <w:tc>
                <w:tcPr>
                  <w:tcW w:w="4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5FDF" w:rsidRPr="002E11E4" w:rsidRDefault="00015FDF" w:rsidP="00015FDF">
                  <w:pPr>
                    <w:jc w:val="center"/>
                    <w:rPr>
                      <w:b/>
                      <w:sz w:val="20"/>
                    </w:rPr>
                  </w:pPr>
                  <w:r w:rsidRPr="002E11E4">
                    <w:rPr>
                      <w:b/>
                      <w:sz w:val="20"/>
                    </w:rPr>
                    <w:t>ΤΑΚΤΙΚΑ ΜΕΛΗ</w:t>
                  </w: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5FDF" w:rsidRPr="002E11E4" w:rsidRDefault="00015FDF" w:rsidP="00015FDF">
                  <w:pPr>
                    <w:jc w:val="center"/>
                    <w:rPr>
                      <w:b/>
                      <w:sz w:val="20"/>
                    </w:rPr>
                  </w:pPr>
                  <w:r w:rsidRPr="002E11E4">
                    <w:rPr>
                      <w:b/>
                      <w:sz w:val="20"/>
                    </w:rPr>
                    <w:t>ΑΝΑΠΛΗΡΩΜΑΤΙΚΑ ΜΕΛΗ</w:t>
                  </w:r>
                </w:p>
              </w:tc>
            </w:tr>
            <w:tr w:rsidR="00015FDF" w:rsidRPr="002E11E4" w:rsidTr="00F9377B">
              <w:trPr>
                <w:trHeight w:val="838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5FDF" w:rsidRPr="002E11E4" w:rsidRDefault="00015FDF" w:rsidP="00015FD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2E11E4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DF" w:rsidRPr="002E11E4" w:rsidRDefault="00015FDF" w:rsidP="00015FDF">
                  <w:pPr>
                    <w:spacing w:after="62"/>
                    <w:ind w:left="-52"/>
                    <w:jc w:val="both"/>
                  </w:pPr>
                  <w:r w:rsidRPr="002E11E4">
                    <w:t>Καλύβας Περικλής ΠΕ Μηχανολόγων Μηχανικών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DF" w:rsidRPr="002E11E4" w:rsidRDefault="00015FDF" w:rsidP="00015FDF">
                  <w:pPr>
                    <w:spacing w:after="62"/>
                    <w:jc w:val="both"/>
                  </w:pPr>
                  <w:proofErr w:type="spellStart"/>
                  <w:r w:rsidRPr="002E11E4">
                    <w:t>Κοξαράκης</w:t>
                  </w:r>
                  <w:proofErr w:type="spellEnd"/>
                  <w:r w:rsidRPr="002E11E4">
                    <w:t xml:space="preserve"> Γεώργιος ΤΕ Ηλεκτρολόγων Μηχανικών</w:t>
                  </w:r>
                </w:p>
              </w:tc>
            </w:tr>
            <w:tr w:rsidR="00015FDF" w:rsidRPr="002E11E4" w:rsidTr="00F9377B">
              <w:trPr>
                <w:trHeight w:val="564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5FDF" w:rsidRPr="002E11E4" w:rsidRDefault="00015FDF" w:rsidP="00015FD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2E11E4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DF" w:rsidRPr="002E11E4" w:rsidRDefault="00015FDF" w:rsidP="00015FDF">
                  <w:pPr>
                    <w:spacing w:after="62"/>
                    <w:jc w:val="both"/>
                  </w:pPr>
                  <w:proofErr w:type="spellStart"/>
                  <w:r w:rsidRPr="002E11E4">
                    <w:t>Σκαρβελάκης</w:t>
                  </w:r>
                  <w:proofErr w:type="spellEnd"/>
                  <w:r w:rsidRPr="002E11E4">
                    <w:t xml:space="preserve"> Εμμανουήλ ΠΕ Μηχανικών Παραγωγής &amp; Διοίκησης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DF" w:rsidRPr="002E11E4" w:rsidRDefault="00015FDF" w:rsidP="00015FDF">
                  <w:pPr>
                    <w:spacing w:after="62"/>
                    <w:jc w:val="both"/>
                  </w:pPr>
                  <w:proofErr w:type="spellStart"/>
                  <w:r w:rsidRPr="002E11E4">
                    <w:t>Αυγουστινάκης</w:t>
                  </w:r>
                  <w:proofErr w:type="spellEnd"/>
                  <w:r w:rsidRPr="002E11E4">
                    <w:t xml:space="preserve"> Εμμανουήλ ΔΕ Ηλεκτρολόγων</w:t>
                  </w:r>
                </w:p>
              </w:tc>
            </w:tr>
            <w:tr w:rsidR="00015FDF" w:rsidRPr="002E11E4" w:rsidTr="00F9377B">
              <w:trPr>
                <w:trHeight w:val="822"/>
              </w:trPr>
              <w:tc>
                <w:tcPr>
                  <w:tcW w:w="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5FDF" w:rsidRPr="002E11E4" w:rsidRDefault="00015FDF" w:rsidP="00015FDF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2E11E4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4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DF" w:rsidRPr="002E11E4" w:rsidRDefault="00015FDF" w:rsidP="00015FDF">
                  <w:pPr>
                    <w:spacing w:after="62"/>
                    <w:jc w:val="both"/>
                  </w:pPr>
                  <w:proofErr w:type="spellStart"/>
                  <w:r w:rsidRPr="002E11E4">
                    <w:t>Mπελιμπασάκης</w:t>
                  </w:r>
                  <w:proofErr w:type="spellEnd"/>
                  <w:r w:rsidRPr="002E11E4">
                    <w:t xml:space="preserve"> Ιωάννης  , ΔΕ Τεχνικού </w:t>
                  </w:r>
                </w:p>
              </w:tc>
              <w:tc>
                <w:tcPr>
                  <w:tcW w:w="37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FDF" w:rsidRPr="002E11E4" w:rsidRDefault="00015FDF" w:rsidP="00015FDF">
                  <w:pPr>
                    <w:spacing w:after="62"/>
                    <w:jc w:val="both"/>
                  </w:pPr>
                  <w:r w:rsidRPr="002E11E4">
                    <w:t xml:space="preserve"> </w:t>
                  </w:r>
                  <w:proofErr w:type="spellStart"/>
                  <w:r w:rsidRPr="002E11E4">
                    <w:t>Αυγουστινάκης</w:t>
                  </w:r>
                  <w:proofErr w:type="spellEnd"/>
                  <w:r w:rsidRPr="002E11E4">
                    <w:t xml:space="preserve"> Παύλος , ΔΕ Τεχνικού</w:t>
                  </w:r>
                </w:p>
              </w:tc>
            </w:tr>
          </w:tbl>
          <w:p w:rsidR="00015FDF" w:rsidRDefault="00015FDF" w:rsidP="00015FDF"/>
        </w:tc>
      </w:tr>
    </w:tbl>
    <w:p w:rsidR="00E40579" w:rsidRDefault="00E40579">
      <w:pPr>
        <w:sectPr w:rsidR="00E40579">
          <w:type w:val="continuous"/>
          <w:pgSz w:w="11900" w:h="16840"/>
          <w:pgMar w:top="1380" w:right="980" w:bottom="280" w:left="980" w:header="720" w:footer="720" w:gutter="0"/>
          <w:cols w:space="720"/>
          <w:noEndnote/>
        </w:sectPr>
      </w:pPr>
    </w:p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Default="000D28FA" w:rsidP="000D28FA">
      <w:pPr>
        <w:tabs>
          <w:tab w:val="left" w:pos="1230"/>
        </w:tabs>
      </w:pPr>
    </w:p>
    <w:p w:rsidR="000D28FA" w:rsidRDefault="000D28FA" w:rsidP="000D28FA"/>
    <w:p w:rsidR="000D28FA" w:rsidRDefault="000D28FA" w:rsidP="000D28FA"/>
    <w:p w:rsidR="000D28FA" w:rsidRPr="000D28FA" w:rsidRDefault="000D28FA" w:rsidP="000D28FA"/>
    <w:p w:rsidR="000D28FA" w:rsidRPr="000D28FA" w:rsidRDefault="000D28FA" w:rsidP="000D28FA"/>
    <w:p w:rsidR="000D28FA" w:rsidRDefault="000D28FA" w:rsidP="000D28FA">
      <w:pPr>
        <w:tabs>
          <w:tab w:val="left" w:pos="2535"/>
        </w:tabs>
      </w:pPr>
    </w:p>
    <w:p w:rsidR="000D28FA" w:rsidRDefault="000D28FA" w:rsidP="000D28FA"/>
    <w:p w:rsidR="00E40579" w:rsidRPr="000D28FA" w:rsidRDefault="00E40579" w:rsidP="000D28FA">
      <w:pPr>
        <w:sectPr w:rsidR="00E40579" w:rsidRPr="000D28FA">
          <w:pgSz w:w="11900" w:h="16840"/>
          <w:pgMar w:top="1360" w:right="1680" w:bottom="280" w:left="1680" w:header="720" w:footer="720" w:gutter="0"/>
          <w:cols w:space="720"/>
          <w:noEndnote/>
        </w:sectPr>
      </w:pPr>
    </w:p>
    <w:p w:rsidR="00E40579" w:rsidRDefault="00E40579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E40579" w:rsidRDefault="00E40579">
      <w:pPr>
        <w:kinsoku w:val="0"/>
        <w:overflowPunct w:val="0"/>
        <w:spacing w:line="200" w:lineRule="exact"/>
        <w:rPr>
          <w:sz w:val="20"/>
          <w:szCs w:val="20"/>
        </w:rPr>
      </w:pPr>
    </w:p>
    <w:p w:rsidR="00E40579" w:rsidRDefault="00E40579">
      <w:pPr>
        <w:kinsoku w:val="0"/>
        <w:overflowPunct w:val="0"/>
        <w:spacing w:line="200" w:lineRule="exact"/>
        <w:rPr>
          <w:sz w:val="20"/>
          <w:szCs w:val="20"/>
        </w:rPr>
      </w:pPr>
    </w:p>
    <w:p w:rsidR="00E40579" w:rsidRDefault="00E40579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E40579" w:rsidRDefault="00E40579">
      <w:pPr>
        <w:pStyle w:val="a3"/>
        <w:kinsoku w:val="0"/>
        <w:overflowPunct w:val="0"/>
        <w:spacing w:line="480" w:lineRule="auto"/>
        <w:ind w:right="1958"/>
      </w:pPr>
    </w:p>
    <w:sectPr w:rsidR="00E40579" w:rsidSect="0021650D">
      <w:pgSz w:w="11900" w:h="16840"/>
      <w:pgMar w:top="1380" w:right="1680" w:bottom="280" w:left="1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hanging="14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AC67DF"/>
    <w:multiLevelType w:val="hybridMultilevel"/>
    <w:tmpl w:val="2CF8782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113752C"/>
    <w:multiLevelType w:val="hybridMultilevel"/>
    <w:tmpl w:val="00C622C2"/>
    <w:lvl w:ilvl="0" w:tplc="0408000F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cs="Wingdings" w:hint="default"/>
      </w:rPr>
    </w:lvl>
  </w:abstractNum>
  <w:abstractNum w:abstractNumId="6">
    <w:nsid w:val="01F3702D"/>
    <w:multiLevelType w:val="multilevel"/>
    <w:tmpl w:val="0892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65178D0"/>
    <w:multiLevelType w:val="hybridMultilevel"/>
    <w:tmpl w:val="E47CFC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840C7C"/>
    <w:multiLevelType w:val="hybridMultilevel"/>
    <w:tmpl w:val="6BF64D2A"/>
    <w:lvl w:ilvl="0" w:tplc="0408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9">
    <w:nsid w:val="29A0235F"/>
    <w:multiLevelType w:val="hybridMultilevel"/>
    <w:tmpl w:val="7B446452"/>
    <w:lvl w:ilvl="0" w:tplc="04080005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cs="Wingdings" w:hint="default"/>
      </w:rPr>
    </w:lvl>
  </w:abstractNum>
  <w:abstractNum w:abstractNumId="10">
    <w:nsid w:val="2B20222B"/>
    <w:multiLevelType w:val="hybridMultilevel"/>
    <w:tmpl w:val="DA707A7C"/>
    <w:lvl w:ilvl="0" w:tplc="0408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1">
    <w:nsid w:val="2E53518D"/>
    <w:multiLevelType w:val="hybridMultilevel"/>
    <w:tmpl w:val="2AA0CA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B81B85"/>
    <w:multiLevelType w:val="hybridMultilevel"/>
    <w:tmpl w:val="2CC8644A"/>
    <w:lvl w:ilvl="0" w:tplc="0408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3CD33B3D"/>
    <w:multiLevelType w:val="hybridMultilevel"/>
    <w:tmpl w:val="F96A04C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19208B"/>
    <w:multiLevelType w:val="hybridMultilevel"/>
    <w:tmpl w:val="392A65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5285F03"/>
    <w:multiLevelType w:val="hybridMultilevel"/>
    <w:tmpl w:val="7F6CC8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E76F1A"/>
    <w:multiLevelType w:val="hybridMultilevel"/>
    <w:tmpl w:val="119AA8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E95057"/>
    <w:multiLevelType w:val="hybridMultilevel"/>
    <w:tmpl w:val="E8D25C28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A828F5"/>
    <w:multiLevelType w:val="hybridMultilevel"/>
    <w:tmpl w:val="EB34CCEC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91F1F89"/>
    <w:multiLevelType w:val="hybridMultilevel"/>
    <w:tmpl w:val="089244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511DEB"/>
    <w:multiLevelType w:val="hybridMultilevel"/>
    <w:tmpl w:val="3F6ED66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11B7363"/>
    <w:multiLevelType w:val="hybridMultilevel"/>
    <w:tmpl w:val="011ABA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C036E4"/>
    <w:multiLevelType w:val="hybridMultilevel"/>
    <w:tmpl w:val="E8D25C28"/>
    <w:lvl w:ilvl="0" w:tplc="04080011">
      <w:start w:val="1"/>
      <w:numFmt w:val="decimal"/>
      <w:lvlText w:val="%1)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21"/>
  </w:num>
  <w:num w:numId="6">
    <w:abstractNumId w:val="15"/>
  </w:num>
  <w:num w:numId="7">
    <w:abstractNumId w:val="14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20"/>
  </w:num>
  <w:num w:numId="14">
    <w:abstractNumId w:val="7"/>
  </w:num>
  <w:num w:numId="15">
    <w:abstractNumId w:val="11"/>
  </w:num>
  <w:num w:numId="16">
    <w:abstractNumId w:val="8"/>
  </w:num>
  <w:num w:numId="17">
    <w:abstractNumId w:val="9"/>
  </w:num>
  <w:num w:numId="18">
    <w:abstractNumId w:val="5"/>
  </w:num>
  <w:num w:numId="19">
    <w:abstractNumId w:val="0"/>
  </w:num>
  <w:num w:numId="20">
    <w:abstractNumId w:val="16"/>
  </w:num>
  <w:num w:numId="21">
    <w:abstractNumId w:val="18"/>
  </w:num>
  <w:num w:numId="22">
    <w:abstractNumId w:val="2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BC0A94"/>
    <w:rsid w:val="000143C1"/>
    <w:rsid w:val="00014DC1"/>
    <w:rsid w:val="00015FDF"/>
    <w:rsid w:val="00023664"/>
    <w:rsid w:val="000312B9"/>
    <w:rsid w:val="000B4940"/>
    <w:rsid w:val="000D28FA"/>
    <w:rsid w:val="001216DE"/>
    <w:rsid w:val="001F004E"/>
    <w:rsid w:val="00207BE3"/>
    <w:rsid w:val="00214363"/>
    <w:rsid w:val="0021650D"/>
    <w:rsid w:val="00217B7B"/>
    <w:rsid w:val="002671A7"/>
    <w:rsid w:val="002A2326"/>
    <w:rsid w:val="002A460A"/>
    <w:rsid w:val="002C4B94"/>
    <w:rsid w:val="002D0B65"/>
    <w:rsid w:val="002E5442"/>
    <w:rsid w:val="002F5233"/>
    <w:rsid w:val="002F7DA8"/>
    <w:rsid w:val="00372C03"/>
    <w:rsid w:val="003A3B57"/>
    <w:rsid w:val="003C1E17"/>
    <w:rsid w:val="004556F7"/>
    <w:rsid w:val="004C1706"/>
    <w:rsid w:val="004E0565"/>
    <w:rsid w:val="005002EA"/>
    <w:rsid w:val="00534C90"/>
    <w:rsid w:val="00561506"/>
    <w:rsid w:val="00650D2E"/>
    <w:rsid w:val="00686F7C"/>
    <w:rsid w:val="006C7FB0"/>
    <w:rsid w:val="0074473D"/>
    <w:rsid w:val="00771054"/>
    <w:rsid w:val="007729F9"/>
    <w:rsid w:val="007D6672"/>
    <w:rsid w:val="00834F71"/>
    <w:rsid w:val="008452BA"/>
    <w:rsid w:val="0085261E"/>
    <w:rsid w:val="008608D6"/>
    <w:rsid w:val="008D1DF8"/>
    <w:rsid w:val="0090193C"/>
    <w:rsid w:val="0095047C"/>
    <w:rsid w:val="00971093"/>
    <w:rsid w:val="009A0492"/>
    <w:rsid w:val="009B44C6"/>
    <w:rsid w:val="009B7D2C"/>
    <w:rsid w:val="00A81D28"/>
    <w:rsid w:val="00A94B35"/>
    <w:rsid w:val="00AC0ECD"/>
    <w:rsid w:val="00AC336B"/>
    <w:rsid w:val="00AC5F09"/>
    <w:rsid w:val="00AD3224"/>
    <w:rsid w:val="00B15BB3"/>
    <w:rsid w:val="00B17672"/>
    <w:rsid w:val="00B35BE9"/>
    <w:rsid w:val="00B903AF"/>
    <w:rsid w:val="00BB0020"/>
    <w:rsid w:val="00BC0A94"/>
    <w:rsid w:val="00BD0344"/>
    <w:rsid w:val="00BF6663"/>
    <w:rsid w:val="00C4256C"/>
    <w:rsid w:val="00C431A1"/>
    <w:rsid w:val="00C50D88"/>
    <w:rsid w:val="00C63D5C"/>
    <w:rsid w:val="00C81B43"/>
    <w:rsid w:val="00C92144"/>
    <w:rsid w:val="00CA2355"/>
    <w:rsid w:val="00CA7576"/>
    <w:rsid w:val="00CB4CA9"/>
    <w:rsid w:val="00CE7621"/>
    <w:rsid w:val="00DE48B6"/>
    <w:rsid w:val="00DF3C8C"/>
    <w:rsid w:val="00E40579"/>
    <w:rsid w:val="00EA5F4C"/>
    <w:rsid w:val="00EB4AF8"/>
    <w:rsid w:val="00EC55E9"/>
    <w:rsid w:val="00ED15CC"/>
    <w:rsid w:val="00EE0368"/>
    <w:rsid w:val="00F01A4A"/>
    <w:rsid w:val="00F1169D"/>
    <w:rsid w:val="00F149A7"/>
    <w:rsid w:val="00F5306A"/>
    <w:rsid w:val="00F9377B"/>
    <w:rsid w:val="00FC3929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650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1650D"/>
    <w:pPr>
      <w:ind w:left="120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1650D"/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rsid w:val="0021650D"/>
    <w:pPr>
      <w:ind w:left="120"/>
    </w:pPr>
  </w:style>
  <w:style w:type="character" w:customStyle="1" w:styleId="Char">
    <w:name w:val="Σώμα κειμένου Char"/>
    <w:basedOn w:val="a0"/>
    <w:link w:val="a3"/>
    <w:uiPriority w:val="99"/>
    <w:semiHidden/>
    <w:locked/>
    <w:rsid w:val="0021650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1650D"/>
  </w:style>
  <w:style w:type="paragraph" w:customStyle="1" w:styleId="TableParagraph">
    <w:name w:val="Table Paragraph"/>
    <w:basedOn w:val="a"/>
    <w:uiPriority w:val="99"/>
    <w:rsid w:val="00216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FAE7-9F1C-499A-9EE2-92F4E061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799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ΠΡΟΔΙΑΓΡΑΦΕΣ ΚΛΙΜΑΤΙΣΤΙΚΩΝ ΜΗΧΑΝΗΜΑΤΩΝ ΤΥΠΟΥ SPLIT</vt:lpstr>
    </vt:vector>
  </TitlesOfParts>
  <Company>a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ΠΡΟΔΙΑΓΡΑΦΕΣ ΚΛΙΜΑΤΙΣΤΙΚΩΝ ΜΗΧΑΝΗΜΑΤΩΝ ΤΥΠΟΥ SPLIT</dc:title>
  <dc:creator>pkalivas</dc:creator>
  <cp:lastModifiedBy>pkalivas</cp:lastModifiedBy>
  <cp:revision>8</cp:revision>
  <cp:lastPrinted>2021-10-08T07:47:00Z</cp:lastPrinted>
  <dcterms:created xsi:type="dcterms:W3CDTF">2021-11-16T10:12:00Z</dcterms:created>
  <dcterms:modified xsi:type="dcterms:W3CDTF">2021-11-17T08:37:00Z</dcterms:modified>
</cp:coreProperties>
</file>